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spacing w:before="136" w:after="0"/>
        <w:ind w:hanging="0"/>
        <w:jc w:val="both"/>
      </w:pPr>
      <w:r>
        <w:rPr>
          <w:rFonts w:ascii="Times New Roman" w:hAnsi="Times New Roman"/>
          <w:sz w:val="28"/>
          <w:szCs w:val="28"/>
        </w:rPr>
        <w:t>EXCELENTÍSSIMO SENHOR DOUTOR JUIZ DE DIREITO DA (…)</w:t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>(...), vem, respeitosamente, por seus advogados e procuradores (documento 01), propor, em face de (...), a competente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EXECUÇÃO PARA ENTREGA DE COISA CERTA</w:t>
      </w:r>
      <w:r/>
    </w:p>
    <w:p>
      <w:pPr>
        <w:pStyle w:val="Corpodotexto"/>
        <w:ind w:hanging="0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o que faz com supedâneo nos arts. 784, II, e 806 e seguintes do Código de Processo Civil, para receber bem imóvel, pelos fatos e razões a seguir expostos: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 exequente adquiriu do executado, em (...), através de escritura pública de venda e compra, título executivo nos termos do Código de Processo Civil, art. 784, II (documento 2), imóvel consubstanciado em um apartamento nº (...), localizado no (...) andar do Edifício (...),  situado na(...).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Na cláusula (...) do aludido título executivo (documento 2), o executado obrigou-se a entregar o bem no mesmo ato.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Trata-se, portanto, de título executivo extrajudicial, líquido, certo e exigível (Código de Processo Civil, art. 784, II c/c 783).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Nada obstante os esforços do exequente, que tentou  amigavelmente receber o que lhe é devido, o executado manteve-se irredutível, negando-se a entregar oimóvel.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Portanto, o exequente jamais recebeu a posse.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Tenha-se presente que “a cláusula constitui não se presume; deve ser expressa ou resultar, necessariamente, de cláusula expressa, como quando o vendedor conserva o prédio em seu poder a título de aluguel.”</w:t>
      </w:r>
      <w:bookmarkStart w:id="0" w:name="_bookmark172"/>
      <w:bookmarkEnd w:id="0"/>
      <w:r>
        <w:rPr>
          <w:rFonts w:ascii="Times New Roman" w:hAnsi="Times New Roman"/>
          <w:sz w:val="28"/>
          <w:szCs w:val="28"/>
        </w:rPr>
        <w:t xml:space="preserve"> Assim, inviabilizada ação de reintegração</w:t>
      </w:r>
      <w:bookmarkStart w:id="1" w:name="_bookmark173"/>
      <w:bookmarkEnd w:id="1"/>
      <w:r>
        <w:rPr>
          <w:rFonts w:ascii="Times New Roman" w:hAnsi="Times New Roman"/>
          <w:sz w:val="28"/>
          <w:szCs w:val="28"/>
        </w:rPr>
        <w:t>, restando apenas a ação de execução para entrega de coisa certa, já que presentes seus requisitos: a) título executivo extrajudicial – art. 784, II (documento 2); b) liquidez, certeza e exigibilidade (art. 786); c) inadimplemento do devedor no cumprimento da obrigação de entrega do bem constante do título.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Tampouco há falar-se em ação de imissão de posse</w:t>
      </w:r>
      <w:bookmarkStart w:id="2" w:name="_bookmark174"/>
      <w:bookmarkEnd w:id="2"/>
      <w:r>
        <w:rPr>
          <w:rFonts w:ascii="Times New Roman" w:hAnsi="Times New Roman"/>
          <w:sz w:val="28"/>
          <w:szCs w:val="28"/>
        </w:rPr>
        <w:t>, até porque não há interesse de agir em ação de conhecimento para obtenção  de um título que, afinal, já se possui</w:t>
      </w:r>
      <w:bookmarkStart w:id="3" w:name="_bookmark175"/>
      <w:bookmarkEnd w:id="3"/>
      <w:r>
        <w:rPr>
          <w:rFonts w:ascii="Times New Roman" w:hAnsi="Times New Roman"/>
          <w:sz w:val="28"/>
          <w:szCs w:val="28"/>
        </w:rPr>
        <w:t xml:space="preserve">. 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Tenha-se presente que o procurador do executado chegou a enviar correspondência sinalizando a entrega das chaves (documento 4).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Todavia, ao receber o preposto do credor (documento 5), o devedor quedou-se inerte, resistindo, sem qualquer motivo plausível, ao cumprimento da obrigação de entrega do imóvel que vendeu por escritura pública (título executivo – art. 784, II, do Código de Processo Civil).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Diante do exposto, não restou alternativa ao credor senão socorrer- se do Poder Judiciário, o que faz por intermédio da presente ação de execução para entrega de coisa certa.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numPr>
          <w:ilvl w:val="0"/>
          <w:numId w:val="2"/>
        </w:numPr>
        <w:jc w:val="both"/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DO </w:t>
      </w:r>
      <w:r>
        <w:rPr>
          <w:rFonts w:ascii="Times New Roman" w:hAnsi="Times New Roman"/>
          <w:sz w:val="28"/>
          <w:szCs w:val="28"/>
        </w:rPr>
        <w:t>PEDIDO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Assim, serve a presente para requerer digne-se Vossa Excelência:</w:t>
      </w:r>
      <w:r/>
    </w:p>
    <w:p>
      <w:pPr>
        <w:pStyle w:val="ListParagraph"/>
        <w:numPr>
          <w:ilvl w:val="0"/>
          <w:numId w:val="1"/>
        </w:numPr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Ordenar a citação do executado, para, em quinze (15) dias, satisfazer a obrigação, entregando a coisa, sob pena de imissão na posse, o que desde já se requer com fundamento nos art. 806, § 2º,  do Código de Processo Civil, cujo cumprimento deve se dar de imediato caso o executado não entregue o imóvel voluntariamente no prazo legal, devendo o Sr. Oficial de Justiça encarregado da diligência permanecer com o mandado a ser expedido para esse  mister,  podendo o executado, querendo, embargar no prazo de 15 dias contados da citação, requerendo-se, por fim, que se digne Vossa Excelência em fixar multa diária de R$ (...) nos termos do § 1º do art. 806 do Código de Processo Civil, sem prejuízo da imissão coercitiva naposse.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ab/>
        <w:tab/>
        <w:t>Requer ainda o exequente:</w:t>
      </w:r>
      <w:r/>
    </w:p>
    <w:p>
      <w:pPr>
        <w:pStyle w:val="ListParagraph"/>
        <w:numPr>
          <w:ilvl w:val="0"/>
          <w:numId w:val="1"/>
        </w:numPr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expedição de certidão de distribuição da presente execução nos termos e para as finalidades do art. 828 do Código de Processo Civil (apenas se o fundamento da execução for instrumento público ou particular nãoregistrado);</w:t>
      </w:r>
      <w:r/>
    </w:p>
    <w:p>
      <w:pPr>
        <w:pStyle w:val="ListParagraph"/>
        <w:numPr>
          <w:ilvl w:val="0"/>
          <w:numId w:val="1"/>
        </w:numPr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expedição de mandado para registro do ato de citação do executado – após o seu cumprimento – junto à respectiva matrícula do imóvel de acordo com o art. 167, I, nº 21 da Lei de Registros Públicos (Lei 6.015/73), para advertir terceiros de que o bem está sub judice,  do qual deve constar: a) a data da citação; b) a qualificação completa das partes; c) cópia da petição inicial, que desde já se fornece; d) descrição do imóvel, conforme aquela do registro (documento 3 em anexo); e) valor da presente execução (R$ ...) para fixação das custas eemolumentos;</w:t>
      </w:r>
      <w:r/>
    </w:p>
    <w:p>
      <w:pPr>
        <w:pStyle w:val="ListParagraph"/>
        <w:numPr>
          <w:ilvl w:val="0"/>
          <w:numId w:val="1"/>
        </w:numPr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que o Senhor Oficial de Justiça encarregado da diligência proceda nos dias e horários de exceção(Código de Processo Civil,  art. 212, §2º);</w:t>
      </w:r>
      <w:r/>
    </w:p>
    <w:p>
      <w:pPr>
        <w:pStyle w:val="ListParagraph"/>
        <w:numPr>
          <w:ilvl w:val="0"/>
          <w:numId w:val="1"/>
        </w:numPr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digne-se Vossa Excelência de fixar liminarmente os honorários para a presente execução nos termos do art. 85, § 1º, do Código de Processo Civil, seja esta embargada ou não, pagando, ainda, o executado, as despesasprocessuais</w:t>
      </w:r>
      <w:bookmarkStart w:id="4" w:name="_bookmark176"/>
      <w:bookmarkEnd w:id="4"/>
      <w:r>
        <w:rPr>
          <w:rFonts w:ascii="Times New Roman" w:hAnsi="Times New Roman"/>
          <w:sz w:val="28"/>
          <w:szCs w:val="28"/>
        </w:rPr>
        <w:t xml:space="preserve">. 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Sucessivamente, não sendo possível a execução específica (in natura), nos termos do art. 809, caput, do Código de Processo Civil, requer o prosseguimento da execução, nessa eventualidade por quantia certa, pelo valor de R$ (...) constante do título executivo (documento 2), acrescido de juros legais e correção monetária.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numPr>
          <w:ilvl w:val="0"/>
          <w:numId w:val="2"/>
        </w:numPr>
        <w:jc w:val="both"/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DAS </w:t>
      </w:r>
      <w:r>
        <w:rPr>
          <w:rFonts w:ascii="Times New Roman" w:hAnsi="Times New Roman"/>
          <w:sz w:val="24"/>
          <w:szCs w:val="24"/>
        </w:rPr>
        <w:t>PROVAS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Dada a natureza da ação, faz-se a prova pelo título executivo (Código de Processo Civil, art. 784, II) que instrui a presente exordial.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numPr>
          <w:ilvl w:val="0"/>
          <w:numId w:val="2"/>
        </w:numPr>
        <w:jc w:val="both"/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DO VALOR DA CAUSA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Dá-se à presente o valor de R$ (...).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Respeitosamente,  pede deferimento.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Cidade..., de ... de ...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Advogad</w:t>
      </w:r>
      <w:r>
        <w:rPr>
          <w:rFonts w:ascii="Times New Roman" w:hAnsi="Times New Roman"/>
          <w:sz w:val="28"/>
          <w:szCs w:val="28"/>
        </w:rPr>
        <w:t>o</w:t>
      </w:r>
      <w:r/>
    </w:p>
    <w:p>
      <w:pPr>
        <w:pStyle w:val="Corpodotexto"/>
        <w:ind w:hanging="0"/>
        <w:jc w:val="center"/>
      </w:pPr>
      <w:r>
        <w:rPr>
          <w:rFonts w:ascii="Times New Roman" w:hAnsi="Times New Roman"/>
          <w:sz w:val="28"/>
          <w:szCs w:val="28"/>
        </w:rPr>
        <w:t>OAB/UF</w:t>
      </w:r>
      <w:r/>
    </w:p>
    <w:sectPr>
      <w:footerReference w:type="default" r:id="rId2"/>
      <w:type w:val="nextPage"/>
      <w:pgSz w:w="11906" w:h="16838"/>
      <w:pgMar w:left="1985" w:right="1418" w:header="0" w:top="1417" w:footer="709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 w:before="0" w:after="0"/>
      <w:ind w:left="0" w:hanging="0"/>
      <w:rPr>
        <w:sz w:val="20"/>
        <w:sz w:val="20"/>
        <w:szCs w:val="27"/>
        <w:rFonts w:ascii="Arial" w:hAnsi="Arial" w:eastAsia="Arial" w:cs="Arial"/>
        <w:lang w:val="en-US"/>
      </w:rPr>
    </w:pPr>
    <w:r>
      <w:rPr>
        <w:sz w:val="20"/>
      </w:rPr>
    </w:r>
    <w:r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108" w:hanging="394"/>
      </w:pPr>
      <w:rPr>
        <w:sz w:val="27"/>
        <w:spacing w:val="-1"/>
        <w:szCs w:val="27"/>
        <w:w w:val="100"/>
      </w:rPr>
    </w:lvl>
    <w:lvl w:ilvl="1">
      <w:start w:val="1"/>
      <w:numFmt w:val="bullet"/>
      <w:lvlText w:val=""/>
      <w:lvlJc w:val="left"/>
      <w:pPr>
        <w:ind w:left="956" w:hanging="39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813" w:hanging="39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669" w:hanging="39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26" w:hanging="39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382" w:hanging="39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239" w:hanging="39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095" w:hanging="39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952" w:hanging="394"/>
      </w:pPr>
      <w:rPr>
        <w:rFonts w:ascii="Symbol" w:hAnsi="Symbol" w:cs="Symbol" w:hint="default"/>
      </w:rPr>
    </w:lvl>
  </w:abstractNum>
  <w:abstractNum w:abstractNumId="2">
    <w:lvl w:ilvl="0">
      <w:start w:val="1"/>
      <w:numFmt w:val="upperRoman"/>
      <w:lvlText w:val="%1"/>
      <w:lvlJc w:val="left"/>
      <w:pPr>
        <w:ind w:left="528" w:hanging="151"/>
      </w:pPr>
      <w:rPr>
        <w:sz w:val="27"/>
        <w:b/>
        <w:szCs w:val="27"/>
        <w:bCs/>
        <w:w w:val="100"/>
      </w:rPr>
    </w:lvl>
    <w:lvl w:ilvl="1">
      <w:start w:val="1"/>
      <w:numFmt w:val="bullet"/>
      <w:lvlText w:val=""/>
      <w:lvlJc w:val="left"/>
      <w:pPr>
        <w:ind w:left="1334" w:hanging="15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149" w:hanging="15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963" w:hanging="15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78" w:hanging="15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592" w:hanging="15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407" w:hanging="15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221" w:hanging="15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036" w:hanging="151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1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uiPriority="1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1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5146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paragraph" w:styleId="Ttulo2">
    <w:name w:val="Título 2"/>
    <w:basedOn w:val="Normal"/>
    <w:link w:val="Ttulo2Char"/>
    <w:uiPriority w:val="1"/>
    <w:qFormat/>
    <w:rsid w:val="00607006"/>
    <w:pPr>
      <w:widowControl w:val="false"/>
      <w:spacing w:lineRule="auto" w:line="240" w:before="136" w:after="0"/>
      <w:ind w:left="378" w:hanging="0"/>
      <w:outlineLvl w:val="1"/>
    </w:pPr>
    <w:rPr>
      <w:rFonts w:ascii="Arial" w:hAnsi="Arial" w:eastAsia="Arial" w:cs="Arial"/>
      <w:b/>
      <w:bCs/>
      <w:sz w:val="27"/>
      <w:szCs w:val="27"/>
      <w:lang w:val="en-US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2Char" w:customStyle="1">
    <w:name w:val="Título 2 Char"/>
    <w:basedOn w:val="DefaultParagraphFont"/>
    <w:link w:val="Ttulo2"/>
    <w:uiPriority w:val="1"/>
    <w:rsid w:val="00607006"/>
    <w:rPr>
      <w:rFonts w:ascii="Arial" w:hAnsi="Arial" w:eastAsia="Arial" w:cs="Arial"/>
      <w:b/>
      <w:bCs/>
      <w:sz w:val="27"/>
      <w:szCs w:val="27"/>
      <w:lang w:val="en-US"/>
    </w:rPr>
  </w:style>
  <w:style w:type="character" w:styleId="CorpodetextoChar" w:customStyle="1">
    <w:name w:val="Corpo de texto Char"/>
    <w:basedOn w:val="DefaultParagraphFont"/>
    <w:link w:val="Corpodetexto"/>
    <w:uiPriority w:val="1"/>
    <w:rsid w:val="00607006"/>
    <w:rPr>
      <w:rFonts w:ascii="Arial" w:hAnsi="Arial" w:eastAsia="Arial" w:cs="Arial"/>
      <w:sz w:val="27"/>
      <w:szCs w:val="27"/>
      <w:lang w:val="en-US"/>
    </w:rPr>
  </w:style>
  <w:style w:type="character" w:styleId="CabealhoChar" w:customStyle="1">
    <w:name w:val="Cabeçalho Char"/>
    <w:basedOn w:val="DefaultParagraphFont"/>
    <w:link w:val="Cabealho"/>
    <w:uiPriority w:val="99"/>
    <w:semiHidden/>
    <w:rsid w:val="004e32d6"/>
    <w:rPr/>
  </w:style>
  <w:style w:type="character" w:styleId="RodapChar" w:customStyle="1">
    <w:name w:val="Rodapé Char"/>
    <w:basedOn w:val="DefaultParagraphFont"/>
    <w:link w:val="Rodap"/>
    <w:uiPriority w:val="99"/>
    <w:semiHidden/>
    <w:rsid w:val="004e32d6"/>
    <w:rPr/>
  </w:style>
  <w:style w:type="character" w:styleId="ListLabel1">
    <w:name w:val="ListLabel 1"/>
    <w:rPr>
      <w:rFonts w:eastAsia="Arial" w:cs="Arial"/>
      <w:spacing w:val="-1"/>
      <w:w w:val="100"/>
      <w:sz w:val="27"/>
      <w:szCs w:val="27"/>
    </w:rPr>
  </w:style>
  <w:style w:type="character" w:styleId="ListLabel2">
    <w:name w:val="ListLabel 2"/>
    <w:rPr>
      <w:rFonts w:eastAsia="Arial" w:cs="Arial"/>
      <w:b/>
      <w:bCs/>
      <w:w w:val="100"/>
      <w:sz w:val="27"/>
      <w:szCs w:val="27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uiPriority w:val="1"/>
    <w:qFormat/>
    <w:rsid w:val="00607006"/>
    <w:pPr>
      <w:widowControl w:val="false"/>
      <w:spacing w:lineRule="auto" w:line="240" w:before="76" w:after="0"/>
      <w:ind w:left="108" w:hanging="0"/>
    </w:pPr>
    <w:rPr>
      <w:rFonts w:ascii="Arial" w:hAnsi="Arial" w:eastAsia="Arial" w:cs="Arial"/>
      <w:sz w:val="27"/>
      <w:szCs w:val="27"/>
      <w:lang w:val="en-US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607006"/>
    <w:pPr>
      <w:widowControl w:val="false"/>
      <w:spacing w:lineRule="auto" w:line="240" w:before="136" w:after="0"/>
      <w:ind w:left="108" w:firstLine="270"/>
    </w:pPr>
    <w:rPr>
      <w:rFonts w:ascii="Arial" w:hAnsi="Arial" w:eastAsia="Arial" w:cs="Arial"/>
      <w:lang w:val="en-US"/>
    </w:rPr>
  </w:style>
  <w:style w:type="paragraph" w:styleId="Cabealho">
    <w:name w:val="Cabeçalho"/>
    <w:basedOn w:val="Normal"/>
    <w:link w:val="CabealhoChar"/>
    <w:uiPriority w:val="99"/>
    <w:semiHidden/>
    <w:unhideWhenUsed/>
    <w:rsid w:val="004e32d6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basedOn w:val="Normal"/>
    <w:link w:val="RodapChar"/>
    <w:uiPriority w:val="99"/>
    <w:semiHidden/>
    <w:unhideWhenUsed/>
    <w:rsid w:val="004e32d6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>
    <w:name w:val="Conteúdo do quadro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Application>LibreOffice/4.3.0.4$Windows_x86 LibreOffice_project/62ad5818884a2fc2e5780dd45466868d41009ec0</Application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2016-03-16T21:47:00Z</dcterms:created>
  <dc:creator>Jessica Medeiros</dc:creator>
  <dc:language>pt-BR</dc:language>
  <dcterms:modified xsi:type="dcterms:W3CDTF">2016-03-18T14:02:47Z</dcterms:modified>
  <cp:revision>3</cp:revision>
</cp:coreProperties>
</file>